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PREGÃO ELETRÔNICO N.° 90033/2025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iCs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33</w:t>
      </w: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iCs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0"/>
          <w:iCs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2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bCs w:val="1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bCs w:val="1"/>
        <w:i w:val="0"/>
        <w:iCs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iCs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iCs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bCs w:val="1"/>
      <w:i w:val="1"/>
      <w:iCs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bCs w:val="1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JMnEtWmf3xjxqS3Ip28Rg1tQ==">CgMxLjAyCGguZ2pkZ3hzOAByITFJSzlaZWlaaHRLWGd3VEZPa2FTbkVuUzhHbGwwMUNObg==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